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44B6" w14:textId="77777777" w:rsidR="00C02E5B" w:rsidRPr="005A45AE" w:rsidRDefault="00C02E5B" w:rsidP="00C02E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45AE">
        <w:rPr>
          <w:rFonts w:ascii="Arial" w:hAnsi="Arial" w:cs="Arial"/>
          <w:b/>
          <w:sz w:val="22"/>
          <w:szCs w:val="22"/>
        </w:rPr>
        <w:t>Quadro. Resumo das principais premissas usadas para a modelagem das diferentes estratégias nos setores de emissões para 2030 e 2050.</w:t>
      </w:r>
    </w:p>
    <w:p w14:paraId="3602D4A2" w14:textId="77777777" w:rsidR="00C02E5B" w:rsidRPr="00F45B71" w:rsidRDefault="00C02E5B" w:rsidP="00C02E5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9"/>
        <w:gridCol w:w="928"/>
        <w:gridCol w:w="897"/>
      </w:tblGrid>
      <w:tr w:rsidR="00C02E5B" w:rsidRPr="00F45B71" w14:paraId="08B27F0B" w14:textId="77777777" w:rsidTr="00D7755F">
        <w:tc>
          <w:tcPr>
            <w:tcW w:w="6906" w:type="dxa"/>
            <w:vMerge w:val="restart"/>
            <w:vAlign w:val="center"/>
          </w:tcPr>
          <w:p w14:paraId="25A40E84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Descrição</w:t>
            </w:r>
          </w:p>
        </w:tc>
        <w:tc>
          <w:tcPr>
            <w:tcW w:w="933" w:type="dxa"/>
            <w:vAlign w:val="center"/>
          </w:tcPr>
          <w:p w14:paraId="21CD9241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2030</w:t>
            </w:r>
          </w:p>
        </w:tc>
        <w:tc>
          <w:tcPr>
            <w:tcW w:w="881" w:type="dxa"/>
            <w:vAlign w:val="center"/>
          </w:tcPr>
          <w:p w14:paraId="66709935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2050</w:t>
            </w:r>
          </w:p>
        </w:tc>
      </w:tr>
      <w:tr w:rsidR="00C02E5B" w:rsidRPr="00F45B71" w14:paraId="02A13FD1" w14:textId="77777777" w:rsidTr="00D7755F">
        <w:tc>
          <w:tcPr>
            <w:tcW w:w="6906" w:type="dxa"/>
            <w:vMerge/>
          </w:tcPr>
          <w:p w14:paraId="42C074FB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C548C8F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% em relação ao total</w:t>
            </w:r>
          </w:p>
        </w:tc>
      </w:tr>
      <w:tr w:rsidR="00C02E5B" w:rsidRPr="00F45B71" w14:paraId="1F4518FD" w14:textId="77777777" w:rsidTr="00D7755F">
        <w:tc>
          <w:tcPr>
            <w:tcW w:w="6906" w:type="dxa"/>
          </w:tcPr>
          <w:p w14:paraId="7F19DDC2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Edificações de uso comercial equipadas com sistemas de geração distribuída fotovoltaica</w:t>
            </w:r>
          </w:p>
        </w:tc>
        <w:tc>
          <w:tcPr>
            <w:tcW w:w="933" w:type="dxa"/>
          </w:tcPr>
          <w:p w14:paraId="1E5D5B75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6,5%</w:t>
            </w:r>
          </w:p>
        </w:tc>
        <w:tc>
          <w:tcPr>
            <w:tcW w:w="881" w:type="dxa"/>
          </w:tcPr>
          <w:p w14:paraId="7E8A6B58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24%</w:t>
            </w:r>
          </w:p>
        </w:tc>
      </w:tr>
      <w:tr w:rsidR="00C02E5B" w:rsidRPr="00F45B71" w14:paraId="77373B6F" w14:textId="77777777" w:rsidTr="00D7755F">
        <w:tc>
          <w:tcPr>
            <w:tcW w:w="6906" w:type="dxa"/>
          </w:tcPr>
          <w:p w14:paraId="38DC6BDD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Edificações utilizando lâmpadas LED</w:t>
            </w:r>
          </w:p>
        </w:tc>
        <w:tc>
          <w:tcPr>
            <w:tcW w:w="933" w:type="dxa"/>
          </w:tcPr>
          <w:p w14:paraId="7B22E1D6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1" w:type="dxa"/>
          </w:tcPr>
          <w:p w14:paraId="043EC5CF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02E5B" w:rsidRPr="00F45B71" w14:paraId="0BDC37D5" w14:textId="77777777" w:rsidTr="00D7755F">
        <w:tc>
          <w:tcPr>
            <w:tcW w:w="6906" w:type="dxa"/>
          </w:tcPr>
          <w:p w14:paraId="1CF01C18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Edificações comerciais com aquecimento de água solar</w:t>
            </w:r>
          </w:p>
        </w:tc>
        <w:tc>
          <w:tcPr>
            <w:tcW w:w="933" w:type="dxa"/>
          </w:tcPr>
          <w:p w14:paraId="4272877B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881" w:type="dxa"/>
          </w:tcPr>
          <w:p w14:paraId="3EC44D74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12,4%</w:t>
            </w:r>
          </w:p>
        </w:tc>
      </w:tr>
      <w:tr w:rsidR="00C02E5B" w:rsidRPr="00F45B71" w14:paraId="092C84A4" w14:textId="77777777" w:rsidTr="00D7755F">
        <w:tc>
          <w:tcPr>
            <w:tcW w:w="6906" w:type="dxa"/>
          </w:tcPr>
          <w:p w14:paraId="1A568DF2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Edificações comerciais equipadas com sistemas de resfriamento e ventilação de alta eficiência</w:t>
            </w:r>
          </w:p>
        </w:tc>
        <w:tc>
          <w:tcPr>
            <w:tcW w:w="933" w:type="dxa"/>
          </w:tcPr>
          <w:p w14:paraId="05902CCC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07134436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C02E5B" w:rsidRPr="00F45B71" w14:paraId="1E48FA9A" w14:textId="77777777" w:rsidTr="00D7755F">
        <w:tc>
          <w:tcPr>
            <w:tcW w:w="6906" w:type="dxa"/>
          </w:tcPr>
          <w:p w14:paraId="0BE943D3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Novas edificações com tecnologias de resfriamento e ventilação de alta eficiência</w:t>
            </w:r>
          </w:p>
        </w:tc>
        <w:tc>
          <w:tcPr>
            <w:tcW w:w="933" w:type="dxa"/>
          </w:tcPr>
          <w:p w14:paraId="0EDBAAA1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81" w:type="dxa"/>
          </w:tcPr>
          <w:p w14:paraId="1C2DA613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</w:tr>
      <w:tr w:rsidR="00C02E5B" w:rsidRPr="00F45B71" w14:paraId="60783F80" w14:textId="77777777" w:rsidTr="00D7755F">
        <w:tc>
          <w:tcPr>
            <w:tcW w:w="6906" w:type="dxa"/>
          </w:tcPr>
          <w:p w14:paraId="70C2954C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Reciclagem de resíduo em papel gerado na cidade</w:t>
            </w:r>
          </w:p>
        </w:tc>
        <w:tc>
          <w:tcPr>
            <w:tcW w:w="933" w:type="dxa"/>
          </w:tcPr>
          <w:p w14:paraId="73E67D04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34%</w:t>
            </w:r>
          </w:p>
        </w:tc>
        <w:tc>
          <w:tcPr>
            <w:tcW w:w="881" w:type="dxa"/>
          </w:tcPr>
          <w:p w14:paraId="6C56FEC2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48%</w:t>
            </w:r>
          </w:p>
        </w:tc>
      </w:tr>
      <w:tr w:rsidR="00C02E5B" w:rsidRPr="00F45B71" w14:paraId="5B34695C" w14:textId="77777777" w:rsidTr="00D7755F">
        <w:tc>
          <w:tcPr>
            <w:tcW w:w="6906" w:type="dxa"/>
          </w:tcPr>
          <w:p w14:paraId="0029086A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Reciclagem de resíduo plástico gerado na cidade</w:t>
            </w:r>
          </w:p>
        </w:tc>
        <w:tc>
          <w:tcPr>
            <w:tcW w:w="933" w:type="dxa"/>
          </w:tcPr>
          <w:p w14:paraId="41348819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881" w:type="dxa"/>
          </w:tcPr>
          <w:p w14:paraId="17560CC4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43%</w:t>
            </w:r>
          </w:p>
        </w:tc>
      </w:tr>
      <w:tr w:rsidR="00C02E5B" w:rsidRPr="00F45B71" w14:paraId="54CEF18E" w14:textId="77777777" w:rsidTr="00D7755F">
        <w:tc>
          <w:tcPr>
            <w:tcW w:w="6906" w:type="dxa"/>
          </w:tcPr>
          <w:p w14:paraId="04BAC412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Desvio de resíduo alimentar destinado ao tratamento em aterro</w:t>
            </w:r>
          </w:p>
        </w:tc>
        <w:tc>
          <w:tcPr>
            <w:tcW w:w="933" w:type="dxa"/>
          </w:tcPr>
          <w:p w14:paraId="0C008B42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sz w:val="24"/>
                <w:szCs w:val="24"/>
              </w:rPr>
              <w:t>39%</w:t>
            </w:r>
          </w:p>
        </w:tc>
        <w:tc>
          <w:tcPr>
            <w:tcW w:w="881" w:type="dxa"/>
          </w:tcPr>
          <w:p w14:paraId="0BEB169B" w14:textId="77777777" w:rsidR="00C02E5B" w:rsidRPr="00F45B71" w:rsidRDefault="00C02E5B" w:rsidP="00D77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B71">
              <w:rPr>
                <w:rFonts w:ascii="Arial" w:hAnsi="Arial" w:cs="Arial"/>
                <w:bCs/>
                <w:sz w:val="24"/>
                <w:szCs w:val="24"/>
              </w:rPr>
              <w:t>66%</w:t>
            </w:r>
          </w:p>
        </w:tc>
      </w:tr>
    </w:tbl>
    <w:p w14:paraId="2215A5BC" w14:textId="77777777" w:rsidR="00C02E5B" w:rsidRPr="00F45B71" w:rsidRDefault="00C02E5B" w:rsidP="00C02E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5B71">
        <w:rPr>
          <w:rFonts w:ascii="Arial" w:hAnsi="Arial" w:cs="Arial"/>
          <w:bCs/>
          <w:sz w:val="22"/>
          <w:szCs w:val="22"/>
        </w:rPr>
        <w:t xml:space="preserve">Fonte: </w:t>
      </w:r>
      <w:proofErr w:type="spellStart"/>
      <w:r w:rsidRPr="00F45B71">
        <w:rPr>
          <w:rFonts w:ascii="Arial" w:hAnsi="Arial" w:cs="Arial"/>
          <w:bCs/>
          <w:sz w:val="22"/>
          <w:szCs w:val="22"/>
        </w:rPr>
        <w:t>PlanClima</w:t>
      </w:r>
      <w:proofErr w:type="spellEnd"/>
      <w:r w:rsidRPr="00F45B71">
        <w:rPr>
          <w:rFonts w:ascii="Arial" w:hAnsi="Arial" w:cs="Arial"/>
          <w:bCs/>
          <w:sz w:val="22"/>
          <w:szCs w:val="22"/>
        </w:rPr>
        <w:t xml:space="preserve"> SP, 2021</w:t>
      </w:r>
    </w:p>
    <w:p w14:paraId="3383EC46" w14:textId="77777777" w:rsidR="008C1287" w:rsidRPr="00C02E5B" w:rsidRDefault="003214D5" w:rsidP="00C02E5B"/>
    <w:sectPr w:rsidR="008C1287" w:rsidRPr="00C02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5B"/>
    <w:rsid w:val="00166BC3"/>
    <w:rsid w:val="003214D5"/>
    <w:rsid w:val="005A45AE"/>
    <w:rsid w:val="00C02E5B"/>
    <w:rsid w:val="00E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7435"/>
  <w15:chartTrackingRefBased/>
  <w15:docId w15:val="{B32CD4C1-06AE-4D17-A4AE-4FBBB37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Junior</dc:creator>
  <cp:keywords/>
  <dc:description/>
  <cp:lastModifiedBy>VERO3</cp:lastModifiedBy>
  <cp:revision>2</cp:revision>
  <dcterms:created xsi:type="dcterms:W3CDTF">2021-06-11T17:10:00Z</dcterms:created>
  <dcterms:modified xsi:type="dcterms:W3CDTF">2021-06-11T17:10:00Z</dcterms:modified>
</cp:coreProperties>
</file>